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2A7C" w14:textId="69D3D0E3" w:rsidR="00690D86" w:rsidRPr="000179FE" w:rsidRDefault="00DC7DF1" w:rsidP="00DC7DF1">
      <w:pPr>
        <w:jc w:val="center"/>
        <w:rPr>
          <w:rFonts w:cstheme="minorHAnsi"/>
          <w:b/>
          <w:bCs/>
        </w:rPr>
      </w:pPr>
      <w:r w:rsidRPr="000179FE">
        <w:rPr>
          <w:rFonts w:cstheme="minorHAnsi"/>
          <w:b/>
          <w:bCs/>
        </w:rPr>
        <w:t>Bangor University</w:t>
      </w:r>
    </w:p>
    <w:p w14:paraId="25D033D3" w14:textId="073EFC48" w:rsidR="00DC7DF1" w:rsidRPr="000179FE" w:rsidRDefault="00DC7DF1" w:rsidP="00DC7DF1">
      <w:pPr>
        <w:jc w:val="center"/>
        <w:rPr>
          <w:rFonts w:cstheme="minorHAnsi"/>
          <w:b/>
          <w:bCs/>
        </w:rPr>
      </w:pPr>
      <w:r w:rsidRPr="000179FE">
        <w:rPr>
          <w:rFonts w:cstheme="minorHAnsi"/>
          <w:b/>
          <w:bCs/>
        </w:rPr>
        <w:t>Remuneration Annual Report 2</w:t>
      </w:r>
      <w:r w:rsidR="003E78A7" w:rsidRPr="000179FE">
        <w:rPr>
          <w:rFonts w:cstheme="minorHAnsi"/>
          <w:b/>
          <w:bCs/>
        </w:rPr>
        <w:t>1</w:t>
      </w:r>
      <w:r w:rsidRPr="000179FE">
        <w:rPr>
          <w:rFonts w:cstheme="minorHAnsi"/>
          <w:b/>
          <w:bCs/>
        </w:rPr>
        <w:t>/2</w:t>
      </w:r>
      <w:r w:rsidR="003E78A7" w:rsidRPr="000179FE">
        <w:rPr>
          <w:rFonts w:cstheme="minorHAnsi"/>
          <w:b/>
          <w:bCs/>
        </w:rPr>
        <w:t>2</w:t>
      </w:r>
    </w:p>
    <w:p w14:paraId="763CA3D5" w14:textId="77777777" w:rsidR="00DC7DF1" w:rsidRPr="000179FE" w:rsidRDefault="00DC7DF1" w:rsidP="00DC7DF1">
      <w:pPr>
        <w:jc w:val="center"/>
        <w:rPr>
          <w:rFonts w:cstheme="minorHAnsi"/>
          <w:b/>
          <w:bCs/>
        </w:rPr>
      </w:pPr>
    </w:p>
    <w:p w14:paraId="5812579B" w14:textId="0F661C4A" w:rsidR="00DC7DF1" w:rsidRPr="000179FE" w:rsidRDefault="00DC7DF1" w:rsidP="00F24E35">
      <w:pPr>
        <w:pStyle w:val="ListParagraph"/>
        <w:numPr>
          <w:ilvl w:val="0"/>
          <w:numId w:val="1"/>
        </w:numPr>
        <w:spacing w:line="276" w:lineRule="auto"/>
        <w:rPr>
          <w:rFonts w:cstheme="minorHAnsi"/>
          <w:b/>
          <w:bCs/>
        </w:rPr>
      </w:pPr>
      <w:r w:rsidRPr="000179FE">
        <w:rPr>
          <w:rFonts w:cstheme="minorHAnsi"/>
          <w:b/>
          <w:bCs/>
        </w:rPr>
        <w:t>Introduction</w:t>
      </w:r>
    </w:p>
    <w:p w14:paraId="2184C860" w14:textId="52067EC8" w:rsidR="00171E62" w:rsidRPr="000179FE" w:rsidRDefault="00111C8E" w:rsidP="00967B00">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color w:val="212121"/>
          <w:sz w:val="22"/>
          <w:szCs w:val="22"/>
        </w:rPr>
        <w:t>1.</w:t>
      </w:r>
      <w:r w:rsidR="005A4987" w:rsidRPr="000179FE">
        <w:rPr>
          <w:rFonts w:asciiTheme="minorHAnsi" w:hAnsiTheme="minorHAnsi" w:cstheme="minorHAnsi"/>
          <w:color w:val="212121"/>
          <w:sz w:val="22"/>
          <w:szCs w:val="22"/>
        </w:rPr>
        <w:t>1</w:t>
      </w:r>
      <w:r w:rsidRPr="000179FE">
        <w:rPr>
          <w:rFonts w:asciiTheme="minorHAnsi" w:hAnsiTheme="minorHAnsi" w:cstheme="minorHAnsi"/>
          <w:color w:val="212121"/>
          <w:sz w:val="22"/>
          <w:szCs w:val="22"/>
        </w:rPr>
        <w:t xml:space="preserve"> </w:t>
      </w:r>
      <w:r w:rsidR="003134C5" w:rsidRPr="000179FE">
        <w:rPr>
          <w:rFonts w:asciiTheme="minorHAnsi" w:hAnsiTheme="minorHAnsi" w:cstheme="minorHAnsi"/>
          <w:color w:val="212121"/>
          <w:sz w:val="22"/>
          <w:szCs w:val="22"/>
        </w:rPr>
        <w:t xml:space="preserve">Bangor University’s Council is the </w:t>
      </w:r>
      <w:r w:rsidR="003134C5" w:rsidRPr="000179FE">
        <w:rPr>
          <w:rFonts w:asciiTheme="minorHAnsi" w:hAnsiTheme="minorHAnsi" w:cstheme="minorHAnsi"/>
          <w:color w:val="000000"/>
          <w:sz w:val="22"/>
          <w:szCs w:val="22"/>
        </w:rPr>
        <w:t xml:space="preserve">supreme governing body of the University as set out in the University Charter and is responsible for the exercise of the University’s powers. </w:t>
      </w:r>
      <w:r w:rsidR="003134C5" w:rsidRPr="000179FE">
        <w:rPr>
          <w:rFonts w:asciiTheme="minorHAnsi" w:hAnsiTheme="minorHAnsi" w:cstheme="minorHAnsi"/>
          <w:sz w:val="22"/>
          <w:szCs w:val="22"/>
        </w:rPr>
        <w:t>Members of the University Council play a key role in driving the institution forward, shaping its strategic direction and mission and ensuring that sufficient assurance is provided for Trustees, by the Executive Board’s management.</w:t>
      </w:r>
    </w:p>
    <w:p w14:paraId="6D526459" w14:textId="38D31000" w:rsidR="00F24E35" w:rsidRDefault="00111C8E" w:rsidP="00967B00">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1.</w:t>
      </w:r>
      <w:r w:rsidR="0013620C" w:rsidRPr="000179FE">
        <w:rPr>
          <w:rFonts w:asciiTheme="minorHAnsi" w:hAnsiTheme="minorHAnsi" w:cstheme="minorHAnsi"/>
          <w:sz w:val="22"/>
          <w:szCs w:val="22"/>
        </w:rPr>
        <w:t>2</w:t>
      </w:r>
      <w:r w:rsidRPr="000179FE">
        <w:rPr>
          <w:rFonts w:asciiTheme="minorHAnsi" w:hAnsiTheme="minorHAnsi" w:cstheme="minorHAnsi"/>
          <w:sz w:val="22"/>
          <w:szCs w:val="22"/>
        </w:rPr>
        <w:t xml:space="preserve"> </w:t>
      </w:r>
      <w:r w:rsidR="003134C5" w:rsidRPr="000179FE">
        <w:rPr>
          <w:rFonts w:asciiTheme="minorHAnsi" w:hAnsiTheme="minorHAnsi" w:cstheme="minorHAnsi"/>
          <w:sz w:val="22"/>
          <w:szCs w:val="22"/>
        </w:rPr>
        <w:t>The Council’s sub-committees assist with providing assurance to the Trustees across the University’s governance structure. One of these sub-committees is the Remuneration Committee.</w:t>
      </w:r>
      <w:r w:rsidR="00190D38" w:rsidRPr="000179FE">
        <w:rPr>
          <w:rFonts w:asciiTheme="minorHAnsi" w:hAnsiTheme="minorHAnsi" w:cstheme="minorHAnsi"/>
          <w:sz w:val="22"/>
          <w:szCs w:val="22"/>
        </w:rPr>
        <w:t xml:space="preserve"> </w:t>
      </w:r>
      <w:r w:rsidR="0013620C" w:rsidRPr="000179FE">
        <w:rPr>
          <w:rFonts w:asciiTheme="minorHAnsi" w:hAnsiTheme="minorHAnsi" w:cstheme="minorHAnsi"/>
          <w:sz w:val="22"/>
          <w:szCs w:val="22"/>
        </w:rPr>
        <w:t>The Remuneration Committee is responsible for reviewing and determining on an annual basis the salaries, terms and conditions and, where appropriate the severance conditions of the above senior post-holders</w:t>
      </w:r>
    </w:p>
    <w:p w14:paraId="635DC083" w14:textId="7AC063E2" w:rsidR="00F95114" w:rsidRPr="000179FE" w:rsidRDefault="00F95114" w:rsidP="00967B00">
      <w:pPr>
        <w:pStyle w:val="NormalWeb"/>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1.3 This report outlines the </w:t>
      </w:r>
      <w:r w:rsidR="00951824">
        <w:rPr>
          <w:rFonts w:asciiTheme="minorHAnsi" w:hAnsiTheme="minorHAnsi" w:cstheme="minorHAnsi"/>
          <w:sz w:val="22"/>
          <w:szCs w:val="22"/>
        </w:rPr>
        <w:t>responsibility</w:t>
      </w:r>
      <w:r>
        <w:rPr>
          <w:rFonts w:asciiTheme="minorHAnsi" w:hAnsiTheme="minorHAnsi" w:cstheme="minorHAnsi"/>
          <w:sz w:val="22"/>
          <w:szCs w:val="22"/>
        </w:rPr>
        <w:t xml:space="preserve"> of </w:t>
      </w:r>
      <w:r w:rsidR="00951824">
        <w:rPr>
          <w:rFonts w:asciiTheme="minorHAnsi" w:hAnsiTheme="minorHAnsi" w:cstheme="minorHAnsi"/>
          <w:sz w:val="22"/>
          <w:szCs w:val="22"/>
        </w:rPr>
        <w:t>th</w:t>
      </w:r>
      <w:r>
        <w:rPr>
          <w:rFonts w:asciiTheme="minorHAnsi" w:hAnsiTheme="minorHAnsi" w:cstheme="minorHAnsi"/>
          <w:sz w:val="22"/>
          <w:szCs w:val="22"/>
        </w:rPr>
        <w:t xml:space="preserve">e </w:t>
      </w:r>
      <w:r w:rsidR="00951824">
        <w:rPr>
          <w:rFonts w:asciiTheme="minorHAnsi" w:hAnsiTheme="minorHAnsi" w:cstheme="minorHAnsi"/>
          <w:sz w:val="22"/>
          <w:szCs w:val="22"/>
        </w:rPr>
        <w:t>Remuneration</w:t>
      </w:r>
      <w:r>
        <w:rPr>
          <w:rFonts w:asciiTheme="minorHAnsi" w:hAnsiTheme="minorHAnsi" w:cstheme="minorHAnsi"/>
          <w:sz w:val="22"/>
          <w:szCs w:val="22"/>
        </w:rPr>
        <w:t xml:space="preserve"> Committee and its key activities </w:t>
      </w:r>
      <w:r w:rsidR="00DD1423">
        <w:rPr>
          <w:rFonts w:asciiTheme="minorHAnsi" w:hAnsiTheme="minorHAnsi" w:cstheme="minorHAnsi"/>
          <w:sz w:val="22"/>
          <w:szCs w:val="22"/>
        </w:rPr>
        <w:t xml:space="preserve">during the year 21/22 and </w:t>
      </w:r>
      <w:r w:rsidR="00951824">
        <w:rPr>
          <w:rFonts w:asciiTheme="minorHAnsi" w:hAnsiTheme="minorHAnsi" w:cstheme="minorHAnsi"/>
          <w:sz w:val="22"/>
          <w:szCs w:val="22"/>
        </w:rPr>
        <w:t>reflects</w:t>
      </w:r>
      <w:r w:rsidR="00DD1423">
        <w:rPr>
          <w:rFonts w:asciiTheme="minorHAnsi" w:hAnsiTheme="minorHAnsi" w:cstheme="minorHAnsi"/>
          <w:sz w:val="22"/>
          <w:szCs w:val="22"/>
        </w:rPr>
        <w:t xml:space="preserve"> the reporting guidance </w:t>
      </w:r>
      <w:r w:rsidR="00951824">
        <w:rPr>
          <w:rFonts w:asciiTheme="minorHAnsi" w:hAnsiTheme="minorHAnsi" w:cstheme="minorHAnsi"/>
          <w:sz w:val="22"/>
          <w:szCs w:val="22"/>
        </w:rPr>
        <w:t xml:space="preserve">provided by </w:t>
      </w:r>
      <w:r w:rsidR="00705BB8">
        <w:rPr>
          <w:rFonts w:asciiTheme="minorHAnsi" w:hAnsiTheme="minorHAnsi" w:cstheme="minorHAnsi"/>
          <w:sz w:val="22"/>
          <w:szCs w:val="22"/>
        </w:rPr>
        <w:t>the Committee</w:t>
      </w:r>
      <w:r w:rsidR="00806BFD" w:rsidRPr="000179FE">
        <w:rPr>
          <w:rFonts w:asciiTheme="minorHAnsi" w:hAnsiTheme="minorHAnsi" w:cstheme="minorHAnsi"/>
          <w:sz w:val="22"/>
          <w:szCs w:val="22"/>
        </w:rPr>
        <w:t xml:space="preserve"> of University Chairs (CUC)</w:t>
      </w:r>
      <w:r w:rsidR="00951824">
        <w:rPr>
          <w:rFonts w:asciiTheme="minorHAnsi" w:hAnsiTheme="minorHAnsi" w:cstheme="minorHAnsi"/>
          <w:sz w:val="22"/>
          <w:szCs w:val="22"/>
        </w:rPr>
        <w:t xml:space="preserve"> in the </w:t>
      </w:r>
      <w:r w:rsidR="00951824" w:rsidRPr="000179FE">
        <w:rPr>
          <w:rFonts w:asciiTheme="minorHAnsi" w:hAnsiTheme="minorHAnsi" w:cstheme="minorHAnsi"/>
          <w:color w:val="212121"/>
          <w:sz w:val="22"/>
          <w:szCs w:val="22"/>
        </w:rPr>
        <w:t>Senior Staff Remuneration Code for Higher Education</w:t>
      </w:r>
    </w:p>
    <w:p w14:paraId="52204ADF" w14:textId="77777777" w:rsidR="00F24E35" w:rsidRPr="000179FE" w:rsidRDefault="00F24E35" w:rsidP="00F24E35">
      <w:pPr>
        <w:pStyle w:val="NormalWeb"/>
        <w:ind w:left="720"/>
        <w:rPr>
          <w:rFonts w:asciiTheme="minorHAnsi" w:hAnsiTheme="minorHAnsi" w:cstheme="minorHAnsi"/>
          <w:sz w:val="22"/>
          <w:szCs w:val="22"/>
        </w:rPr>
      </w:pPr>
    </w:p>
    <w:p w14:paraId="37DB7673" w14:textId="4584C5FB" w:rsidR="00F24E35" w:rsidRPr="000179FE" w:rsidRDefault="00F24E35" w:rsidP="00967B00">
      <w:pPr>
        <w:pStyle w:val="NormalWeb"/>
        <w:numPr>
          <w:ilvl w:val="0"/>
          <w:numId w:val="1"/>
        </w:numPr>
        <w:spacing w:before="0" w:beforeAutospacing="0" w:after="0" w:afterAutospacing="0" w:line="276" w:lineRule="auto"/>
        <w:jc w:val="both"/>
        <w:rPr>
          <w:rFonts w:asciiTheme="minorHAnsi" w:hAnsiTheme="minorHAnsi" w:cstheme="minorHAnsi"/>
          <w:b/>
          <w:bCs/>
          <w:sz w:val="22"/>
          <w:szCs w:val="22"/>
        </w:rPr>
      </w:pPr>
      <w:r w:rsidRPr="000179FE">
        <w:rPr>
          <w:rFonts w:asciiTheme="minorHAnsi" w:hAnsiTheme="minorHAnsi" w:cstheme="minorHAnsi"/>
          <w:b/>
          <w:bCs/>
          <w:sz w:val="22"/>
          <w:szCs w:val="22"/>
        </w:rPr>
        <w:t>Remuneration Committee</w:t>
      </w:r>
    </w:p>
    <w:p w14:paraId="5772F9B0" w14:textId="77777777" w:rsidR="00F24E35" w:rsidRPr="000179FE" w:rsidRDefault="00F24E35" w:rsidP="00F24E35">
      <w:pPr>
        <w:pStyle w:val="NormalWeb"/>
        <w:spacing w:before="0" w:beforeAutospacing="0" w:after="0" w:afterAutospacing="0" w:line="276" w:lineRule="auto"/>
        <w:ind w:left="720"/>
        <w:jc w:val="both"/>
        <w:rPr>
          <w:rFonts w:asciiTheme="minorHAnsi" w:hAnsiTheme="minorHAnsi" w:cstheme="minorHAnsi"/>
          <w:sz w:val="22"/>
          <w:szCs w:val="22"/>
        </w:rPr>
      </w:pPr>
    </w:p>
    <w:p w14:paraId="170C0FC0" w14:textId="53D443DA" w:rsidR="0093636C" w:rsidRPr="000179FE" w:rsidRDefault="00111C8E" w:rsidP="00B75E84">
      <w:pPr>
        <w:pStyle w:val="NormalWeb"/>
        <w:spacing w:before="0" w:beforeAutospacing="0" w:after="0" w:afterAutospacing="0"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 xml:space="preserve">2.1 </w:t>
      </w:r>
      <w:r w:rsidR="00967B00" w:rsidRPr="000179FE">
        <w:rPr>
          <w:rFonts w:asciiTheme="minorHAnsi" w:hAnsiTheme="minorHAnsi" w:cstheme="minorHAnsi"/>
          <w:sz w:val="22"/>
          <w:szCs w:val="22"/>
        </w:rPr>
        <w:t>T</w:t>
      </w:r>
      <w:r w:rsidR="00F24E35" w:rsidRPr="000179FE">
        <w:rPr>
          <w:rFonts w:asciiTheme="minorHAnsi" w:hAnsiTheme="minorHAnsi" w:cstheme="minorHAnsi"/>
          <w:sz w:val="22"/>
          <w:szCs w:val="22"/>
        </w:rPr>
        <w:t xml:space="preserve">he Remuneration Committee is responsible for determining the Reward Strategy of the University and for setting the remuneration and the terms and conditions for the Vice-Chancellor and other senior members of staff, (as per its Terms of Reference in Appendix 1). </w:t>
      </w:r>
    </w:p>
    <w:p w14:paraId="217D13B1" w14:textId="77777777" w:rsidR="00B75E84" w:rsidRPr="000179FE" w:rsidRDefault="00B75E84" w:rsidP="00B75E84">
      <w:pPr>
        <w:pStyle w:val="NormalWeb"/>
        <w:spacing w:before="0" w:beforeAutospacing="0" w:after="0" w:afterAutospacing="0" w:line="276" w:lineRule="auto"/>
        <w:jc w:val="both"/>
        <w:rPr>
          <w:rFonts w:asciiTheme="minorHAnsi" w:hAnsiTheme="minorHAnsi" w:cstheme="minorHAnsi"/>
          <w:sz w:val="22"/>
          <w:szCs w:val="22"/>
        </w:rPr>
      </w:pPr>
    </w:p>
    <w:p w14:paraId="27C3155B" w14:textId="59F6082B" w:rsidR="00C6347E" w:rsidRPr="000179FE" w:rsidRDefault="00111C8E" w:rsidP="0013620C">
      <w:pPr>
        <w:pStyle w:val="NormalWeb"/>
        <w:spacing w:before="0" w:beforeAutospacing="0" w:after="0" w:afterAutospacing="0" w:line="276" w:lineRule="auto"/>
        <w:ind w:left="360"/>
        <w:jc w:val="both"/>
        <w:rPr>
          <w:rFonts w:asciiTheme="minorHAnsi" w:hAnsiTheme="minorHAnsi" w:cstheme="minorHAnsi"/>
          <w:color w:val="000000"/>
          <w:sz w:val="22"/>
          <w:szCs w:val="22"/>
        </w:rPr>
      </w:pPr>
      <w:r w:rsidRPr="000179FE">
        <w:rPr>
          <w:rFonts w:asciiTheme="minorHAnsi" w:hAnsiTheme="minorHAnsi" w:cstheme="minorHAnsi"/>
          <w:sz w:val="22"/>
          <w:szCs w:val="22"/>
        </w:rPr>
        <w:t xml:space="preserve">2.2 </w:t>
      </w:r>
      <w:r w:rsidR="00F24E35" w:rsidRPr="000179FE">
        <w:rPr>
          <w:rFonts w:asciiTheme="minorHAnsi" w:hAnsiTheme="minorHAnsi" w:cstheme="minorHAnsi"/>
          <w:sz w:val="22"/>
          <w:szCs w:val="22"/>
        </w:rPr>
        <w:t xml:space="preserve">The Remuneration Committee comprises independent lay members of Council who possess relevant knowledge and expertise. The Vice-Chancellor is not in attendance for, and does not play a part in, the discussions and decisions of his own remuneration. </w:t>
      </w:r>
      <w:r w:rsidR="00C6347E" w:rsidRPr="000179FE">
        <w:rPr>
          <w:rFonts w:asciiTheme="minorHAnsi" w:hAnsiTheme="minorHAnsi" w:cstheme="minorHAnsi"/>
          <w:sz w:val="22"/>
          <w:szCs w:val="22"/>
        </w:rPr>
        <w:t>The membership is as follows:</w:t>
      </w:r>
    </w:p>
    <w:p w14:paraId="64BDAC51" w14:textId="77777777" w:rsidR="003B3FB1" w:rsidRPr="000179FE" w:rsidRDefault="003B3FB1" w:rsidP="00C6347E">
      <w:pPr>
        <w:rPr>
          <w:rFonts w:cstheme="minorHAnsi"/>
          <w:color w:val="000000"/>
        </w:rPr>
      </w:pPr>
    </w:p>
    <w:p w14:paraId="021712E3" w14:textId="0EE4BBE3" w:rsidR="00C6347E" w:rsidRPr="000179FE" w:rsidRDefault="00C6347E" w:rsidP="003B3FB1">
      <w:pPr>
        <w:pStyle w:val="ListParagraph"/>
        <w:numPr>
          <w:ilvl w:val="0"/>
          <w:numId w:val="3"/>
        </w:numPr>
        <w:spacing w:after="0"/>
        <w:rPr>
          <w:rFonts w:cstheme="minorHAnsi"/>
          <w:color w:val="000000"/>
        </w:rPr>
      </w:pPr>
      <w:r w:rsidRPr="000179FE">
        <w:rPr>
          <w:rFonts w:cstheme="minorHAnsi"/>
          <w:color w:val="000000"/>
        </w:rPr>
        <w:t xml:space="preserve">4 lay member of Council (one of whom will be Chair and will also include the Chair of Finance &amp; Strategy </w:t>
      </w:r>
      <w:r w:rsidR="00BD38AF" w:rsidRPr="000179FE">
        <w:rPr>
          <w:rFonts w:cstheme="minorHAnsi"/>
          <w:color w:val="000000"/>
        </w:rPr>
        <w:t>Committee)</w:t>
      </w:r>
    </w:p>
    <w:p w14:paraId="4A3C453D" w14:textId="77777777" w:rsidR="00C6347E" w:rsidRPr="000179FE" w:rsidRDefault="00C6347E" w:rsidP="003B3FB1">
      <w:pPr>
        <w:pStyle w:val="ListParagraph"/>
        <w:numPr>
          <w:ilvl w:val="0"/>
          <w:numId w:val="3"/>
        </w:numPr>
        <w:spacing w:after="0"/>
        <w:rPr>
          <w:rFonts w:cstheme="minorHAnsi"/>
          <w:color w:val="000000"/>
        </w:rPr>
      </w:pPr>
      <w:r w:rsidRPr="000179FE">
        <w:rPr>
          <w:rFonts w:cstheme="minorHAnsi"/>
          <w:color w:val="000000"/>
        </w:rPr>
        <w:t>Chair of Council</w:t>
      </w:r>
    </w:p>
    <w:p w14:paraId="0539068A" w14:textId="77777777" w:rsidR="00C6347E" w:rsidRPr="000179FE" w:rsidRDefault="00C6347E" w:rsidP="00166BB2">
      <w:pPr>
        <w:pStyle w:val="ListParagraph"/>
        <w:numPr>
          <w:ilvl w:val="0"/>
          <w:numId w:val="3"/>
        </w:numPr>
        <w:spacing w:after="0"/>
        <w:rPr>
          <w:rFonts w:cstheme="minorHAnsi"/>
          <w:color w:val="000000"/>
        </w:rPr>
      </w:pPr>
      <w:r w:rsidRPr="000179FE">
        <w:rPr>
          <w:rFonts w:cstheme="minorHAnsi"/>
          <w:color w:val="000000"/>
        </w:rPr>
        <w:t>Staff Member on Council</w:t>
      </w:r>
    </w:p>
    <w:p w14:paraId="77BC8A49" w14:textId="77777777" w:rsidR="00C6347E" w:rsidRPr="000179FE" w:rsidRDefault="00C6347E" w:rsidP="00166BB2">
      <w:pPr>
        <w:pStyle w:val="ListParagraph"/>
        <w:numPr>
          <w:ilvl w:val="0"/>
          <w:numId w:val="3"/>
        </w:numPr>
        <w:spacing w:after="0"/>
        <w:rPr>
          <w:rFonts w:cstheme="minorHAnsi"/>
          <w:color w:val="000000"/>
        </w:rPr>
      </w:pPr>
      <w:r w:rsidRPr="000179FE">
        <w:rPr>
          <w:rFonts w:cstheme="minorHAnsi"/>
          <w:color w:val="000000"/>
        </w:rPr>
        <w:t>President, Students’ Union</w:t>
      </w:r>
    </w:p>
    <w:p w14:paraId="1409EF79" w14:textId="77777777" w:rsidR="00C6347E" w:rsidRPr="000179FE" w:rsidRDefault="00C6347E"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1BE32063" w14:textId="7B7A2F9E" w:rsidR="00166BB2" w:rsidRDefault="00013138" w:rsidP="00B75E84">
      <w:pPr>
        <w:pStyle w:val="NormalWeb"/>
        <w:spacing w:before="0" w:beforeAutospacing="0" w:after="0" w:afterAutospacing="0"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 xml:space="preserve">Officers in </w:t>
      </w:r>
      <w:r w:rsidR="00166BB2" w:rsidRPr="000179FE">
        <w:rPr>
          <w:rFonts w:asciiTheme="minorHAnsi" w:hAnsiTheme="minorHAnsi" w:cstheme="minorHAnsi"/>
          <w:sz w:val="22"/>
          <w:szCs w:val="22"/>
        </w:rPr>
        <w:t xml:space="preserve">attendance are the </w:t>
      </w:r>
      <w:r w:rsidRPr="000179FE">
        <w:rPr>
          <w:rFonts w:asciiTheme="minorHAnsi" w:hAnsiTheme="minorHAnsi" w:cstheme="minorHAnsi"/>
          <w:sz w:val="22"/>
          <w:szCs w:val="22"/>
        </w:rPr>
        <w:t xml:space="preserve">Vice-Chancellor, Chief </w:t>
      </w:r>
      <w:r w:rsidR="0093185D" w:rsidRPr="000179FE">
        <w:rPr>
          <w:rFonts w:asciiTheme="minorHAnsi" w:hAnsiTheme="minorHAnsi" w:cstheme="minorHAnsi"/>
          <w:sz w:val="22"/>
          <w:szCs w:val="22"/>
        </w:rPr>
        <w:t>Operating</w:t>
      </w:r>
      <w:r w:rsidRPr="000179FE">
        <w:rPr>
          <w:rFonts w:asciiTheme="minorHAnsi" w:hAnsiTheme="minorHAnsi" w:cstheme="minorHAnsi"/>
          <w:sz w:val="22"/>
          <w:szCs w:val="22"/>
        </w:rPr>
        <w:t xml:space="preserve"> Officer and the Chief People Officer</w:t>
      </w:r>
      <w:r w:rsidR="0093185D" w:rsidRPr="000179FE">
        <w:rPr>
          <w:rFonts w:asciiTheme="minorHAnsi" w:hAnsiTheme="minorHAnsi" w:cstheme="minorHAnsi"/>
          <w:sz w:val="22"/>
          <w:szCs w:val="22"/>
        </w:rPr>
        <w:t xml:space="preserve"> and the </w:t>
      </w:r>
      <w:r w:rsidR="0003489F" w:rsidRPr="000179FE">
        <w:rPr>
          <w:rFonts w:asciiTheme="minorHAnsi" w:hAnsiTheme="minorHAnsi" w:cstheme="minorHAnsi"/>
          <w:sz w:val="22"/>
          <w:szCs w:val="22"/>
        </w:rPr>
        <w:t>C</w:t>
      </w:r>
      <w:r w:rsidR="0093185D" w:rsidRPr="000179FE">
        <w:rPr>
          <w:rFonts w:asciiTheme="minorHAnsi" w:hAnsiTheme="minorHAnsi" w:cstheme="minorHAnsi"/>
          <w:sz w:val="22"/>
          <w:szCs w:val="22"/>
        </w:rPr>
        <w:t>ommittee is supported by the Deputy Director of Human Resources</w:t>
      </w:r>
      <w:r w:rsidR="00705BB8">
        <w:rPr>
          <w:rFonts w:asciiTheme="minorHAnsi" w:hAnsiTheme="minorHAnsi" w:cstheme="minorHAnsi"/>
          <w:sz w:val="22"/>
          <w:szCs w:val="22"/>
        </w:rPr>
        <w:t>.</w:t>
      </w:r>
    </w:p>
    <w:p w14:paraId="2187688A" w14:textId="77777777" w:rsidR="00705BB8" w:rsidRDefault="00705BB8"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0A4969C2" w14:textId="77777777" w:rsidR="00ED1753" w:rsidRDefault="00E351EB"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2.</w:t>
      </w:r>
      <w:r w:rsidR="00DD75B0">
        <w:rPr>
          <w:rFonts w:asciiTheme="minorHAnsi" w:hAnsiTheme="minorHAnsi" w:cstheme="minorHAnsi"/>
          <w:sz w:val="22"/>
          <w:szCs w:val="22"/>
        </w:rPr>
        <w:t>3 The Terms of Reference are reviewed annually in line with CUC Guidance</w:t>
      </w:r>
      <w:r w:rsidR="00ED1753">
        <w:rPr>
          <w:rFonts w:asciiTheme="minorHAnsi" w:hAnsiTheme="minorHAnsi" w:cstheme="minorHAnsi"/>
          <w:sz w:val="22"/>
          <w:szCs w:val="22"/>
        </w:rPr>
        <w:t>.</w:t>
      </w:r>
    </w:p>
    <w:p w14:paraId="4945EA01" w14:textId="77777777" w:rsidR="00ED1753" w:rsidRDefault="00ED1753"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50D3D409" w14:textId="2F4044DA" w:rsidR="00705BB8" w:rsidRDefault="00ED1753"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2.4</w:t>
      </w:r>
      <w:r w:rsidR="00B33F8F">
        <w:rPr>
          <w:rFonts w:asciiTheme="minorHAnsi" w:hAnsiTheme="minorHAnsi" w:cstheme="minorHAnsi"/>
          <w:sz w:val="22"/>
          <w:szCs w:val="22"/>
        </w:rPr>
        <w:t xml:space="preserve"> The Committee </w:t>
      </w:r>
      <w:r w:rsidR="004B01CB">
        <w:rPr>
          <w:rFonts w:asciiTheme="minorHAnsi" w:hAnsiTheme="minorHAnsi" w:cstheme="minorHAnsi"/>
          <w:sz w:val="22"/>
          <w:szCs w:val="22"/>
        </w:rPr>
        <w:t>has agreed that m</w:t>
      </w:r>
      <w:r w:rsidR="004B01CB">
        <w:rPr>
          <w:rStyle w:val="normaltextrun"/>
          <w:rFonts w:ascii="Calibri" w:hAnsi="Calibri" w:cs="Calibri"/>
          <w:color w:val="000000"/>
          <w:sz w:val="22"/>
          <w:szCs w:val="22"/>
          <w:shd w:val="clear" w:color="auto" w:fill="FFFFFF"/>
        </w:rPr>
        <w:t xml:space="preserve">eetings shall normally be held two times each academic year; additional meetings may be arranged where </w:t>
      </w:r>
      <w:r w:rsidR="004B01CB">
        <w:rPr>
          <w:rStyle w:val="normaltextrun"/>
          <w:rFonts w:ascii="Calibri" w:hAnsi="Calibri" w:cs="Calibri"/>
          <w:color w:val="000000"/>
          <w:sz w:val="22"/>
          <w:szCs w:val="22"/>
          <w:shd w:val="clear" w:color="auto" w:fill="FFFFFF"/>
        </w:rPr>
        <w:t>necessary</w:t>
      </w:r>
      <w:r w:rsidR="004B01CB">
        <w:rPr>
          <w:rFonts w:asciiTheme="minorHAnsi" w:hAnsiTheme="minorHAnsi" w:cstheme="minorHAnsi"/>
          <w:sz w:val="22"/>
          <w:szCs w:val="22"/>
        </w:rPr>
        <w:t>.</w:t>
      </w:r>
    </w:p>
    <w:p w14:paraId="71250C8E" w14:textId="77777777" w:rsidR="004B01CB" w:rsidRDefault="004B01CB"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30CDB18C" w14:textId="35359F4C" w:rsidR="004B01CB" w:rsidRPr="000179FE" w:rsidRDefault="004B01CB"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2.5 Non-confidential minutes are presented at the next available Council meeting.</w:t>
      </w:r>
    </w:p>
    <w:p w14:paraId="5C7E8D6B" w14:textId="4D8C56FF" w:rsidR="000C444C" w:rsidRPr="000179FE" w:rsidRDefault="00F24E35" w:rsidP="000C444C">
      <w:pPr>
        <w:pStyle w:val="NormalWeb"/>
        <w:numPr>
          <w:ilvl w:val="0"/>
          <w:numId w:val="1"/>
        </w:numPr>
        <w:spacing w:after="0" w:afterAutospacing="0" w:line="276" w:lineRule="auto"/>
        <w:jc w:val="both"/>
        <w:rPr>
          <w:rFonts w:asciiTheme="minorHAnsi" w:hAnsiTheme="minorHAnsi" w:cstheme="minorHAnsi"/>
          <w:b/>
          <w:bCs/>
          <w:sz w:val="22"/>
          <w:szCs w:val="22"/>
        </w:rPr>
      </w:pPr>
      <w:r w:rsidRPr="000179FE">
        <w:rPr>
          <w:rFonts w:asciiTheme="minorHAnsi" w:hAnsiTheme="minorHAnsi" w:cstheme="minorHAnsi"/>
          <w:b/>
          <w:bCs/>
          <w:sz w:val="22"/>
          <w:szCs w:val="22"/>
        </w:rPr>
        <w:t>Approach to Remuneration</w:t>
      </w:r>
    </w:p>
    <w:p w14:paraId="5D0FFA89" w14:textId="64F33029" w:rsidR="00043325" w:rsidRPr="000179FE" w:rsidRDefault="004F1A83" w:rsidP="002B7452">
      <w:pPr>
        <w:pStyle w:val="NormalWeb"/>
        <w:spacing w:line="276" w:lineRule="auto"/>
        <w:ind w:left="426" w:hanging="142"/>
        <w:jc w:val="both"/>
        <w:rPr>
          <w:rFonts w:asciiTheme="minorHAnsi" w:hAnsiTheme="minorHAnsi" w:cstheme="minorHAnsi"/>
          <w:sz w:val="22"/>
          <w:szCs w:val="22"/>
        </w:rPr>
      </w:pPr>
      <w:r w:rsidRPr="000179FE">
        <w:rPr>
          <w:rFonts w:asciiTheme="minorHAnsi" w:hAnsiTheme="minorHAnsi" w:cstheme="minorHAnsi"/>
          <w:sz w:val="22"/>
          <w:szCs w:val="22"/>
        </w:rPr>
        <w:t>3.</w:t>
      </w:r>
      <w:r w:rsidR="00EF7A85" w:rsidRPr="000179FE">
        <w:rPr>
          <w:rFonts w:asciiTheme="minorHAnsi" w:hAnsiTheme="minorHAnsi" w:cstheme="minorHAnsi"/>
          <w:sz w:val="22"/>
          <w:szCs w:val="22"/>
        </w:rPr>
        <w:t>1</w:t>
      </w:r>
      <w:r w:rsidRPr="000179FE">
        <w:rPr>
          <w:rFonts w:asciiTheme="minorHAnsi" w:hAnsiTheme="minorHAnsi" w:cstheme="minorHAnsi"/>
          <w:sz w:val="22"/>
          <w:szCs w:val="22"/>
        </w:rPr>
        <w:t xml:space="preserve"> </w:t>
      </w:r>
      <w:r w:rsidR="00C15564" w:rsidRPr="000179FE">
        <w:rPr>
          <w:rFonts w:asciiTheme="minorHAnsi" w:hAnsiTheme="minorHAnsi" w:cstheme="minorHAnsi"/>
          <w:sz w:val="22"/>
          <w:szCs w:val="22"/>
        </w:rPr>
        <w:t xml:space="preserve">The University has a salary scale for Grades 1-9 and </w:t>
      </w:r>
      <w:r w:rsidR="005078A2" w:rsidRPr="000179FE">
        <w:rPr>
          <w:rFonts w:asciiTheme="minorHAnsi" w:hAnsiTheme="minorHAnsi" w:cstheme="minorHAnsi"/>
          <w:sz w:val="22"/>
          <w:szCs w:val="22"/>
        </w:rPr>
        <w:t xml:space="preserve">another </w:t>
      </w:r>
      <w:r w:rsidR="00C15564" w:rsidRPr="000179FE">
        <w:rPr>
          <w:rFonts w:asciiTheme="minorHAnsi" w:hAnsiTheme="minorHAnsi" w:cstheme="minorHAnsi"/>
          <w:sz w:val="22"/>
          <w:szCs w:val="22"/>
        </w:rPr>
        <w:t>for Professorial staff.  Senior Professional staff are appointed to individual salaries.</w:t>
      </w:r>
      <w:r w:rsidR="005C2FF6" w:rsidRPr="000179FE">
        <w:rPr>
          <w:rFonts w:asciiTheme="minorHAnsi" w:hAnsiTheme="minorHAnsi" w:cstheme="minorHAnsi"/>
          <w:sz w:val="22"/>
          <w:szCs w:val="22"/>
        </w:rPr>
        <w:t xml:space="preserve"> The various</w:t>
      </w:r>
      <w:r w:rsidR="006E2027" w:rsidRPr="000179FE">
        <w:rPr>
          <w:rFonts w:asciiTheme="minorHAnsi" w:hAnsiTheme="minorHAnsi" w:cstheme="minorHAnsi"/>
          <w:sz w:val="22"/>
          <w:szCs w:val="22"/>
        </w:rPr>
        <w:t xml:space="preserve"> policies and </w:t>
      </w:r>
      <w:r w:rsidR="00B11404" w:rsidRPr="000179FE">
        <w:rPr>
          <w:rFonts w:asciiTheme="minorHAnsi" w:hAnsiTheme="minorHAnsi" w:cstheme="minorHAnsi"/>
          <w:sz w:val="22"/>
          <w:szCs w:val="22"/>
        </w:rPr>
        <w:t>procedures</w:t>
      </w:r>
      <w:r w:rsidR="006E2027" w:rsidRPr="000179FE">
        <w:rPr>
          <w:rFonts w:asciiTheme="minorHAnsi" w:hAnsiTheme="minorHAnsi" w:cstheme="minorHAnsi"/>
          <w:sz w:val="22"/>
          <w:szCs w:val="22"/>
        </w:rPr>
        <w:t xml:space="preserve"> associated with pay, progression, recognition</w:t>
      </w:r>
      <w:r w:rsidR="00B11404" w:rsidRPr="000179FE">
        <w:rPr>
          <w:rFonts w:asciiTheme="minorHAnsi" w:hAnsiTheme="minorHAnsi" w:cstheme="minorHAnsi"/>
          <w:sz w:val="22"/>
          <w:szCs w:val="22"/>
        </w:rPr>
        <w:t xml:space="preserve"> and pension are available on the University website.</w:t>
      </w:r>
    </w:p>
    <w:p w14:paraId="07139175" w14:textId="318D2E6E" w:rsidR="008437FA" w:rsidRPr="000179FE" w:rsidRDefault="00111C8E" w:rsidP="002B7452">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3.</w:t>
      </w:r>
      <w:r w:rsidR="00EF7A85" w:rsidRPr="000179FE">
        <w:rPr>
          <w:rFonts w:asciiTheme="minorHAnsi" w:hAnsiTheme="minorHAnsi" w:cstheme="minorHAnsi"/>
          <w:sz w:val="22"/>
          <w:szCs w:val="22"/>
        </w:rPr>
        <w:t>2</w:t>
      </w:r>
      <w:r w:rsidRPr="000179FE">
        <w:rPr>
          <w:rFonts w:asciiTheme="minorHAnsi" w:hAnsiTheme="minorHAnsi" w:cstheme="minorHAnsi"/>
          <w:sz w:val="22"/>
          <w:szCs w:val="22"/>
        </w:rPr>
        <w:t xml:space="preserve"> </w:t>
      </w:r>
      <w:r w:rsidR="009C0896" w:rsidRPr="000179FE">
        <w:rPr>
          <w:rFonts w:asciiTheme="minorHAnsi" w:hAnsiTheme="minorHAnsi" w:cstheme="minorHAnsi"/>
          <w:sz w:val="22"/>
          <w:szCs w:val="22"/>
        </w:rPr>
        <w:t xml:space="preserve">Staff on Grades 1-9 are on the National </w:t>
      </w:r>
      <w:r w:rsidR="00AE7FD0" w:rsidRPr="000179FE">
        <w:rPr>
          <w:rFonts w:asciiTheme="minorHAnsi" w:hAnsiTheme="minorHAnsi" w:cstheme="minorHAnsi"/>
          <w:sz w:val="22"/>
          <w:szCs w:val="22"/>
        </w:rPr>
        <w:t>Framework</w:t>
      </w:r>
      <w:r w:rsidR="009C0896" w:rsidRPr="000179FE">
        <w:rPr>
          <w:rFonts w:asciiTheme="minorHAnsi" w:hAnsiTheme="minorHAnsi" w:cstheme="minorHAnsi"/>
          <w:sz w:val="22"/>
          <w:szCs w:val="22"/>
        </w:rPr>
        <w:t xml:space="preserve"> </w:t>
      </w:r>
      <w:r w:rsidR="00AE7FD0" w:rsidRPr="000179FE">
        <w:rPr>
          <w:rFonts w:asciiTheme="minorHAnsi" w:hAnsiTheme="minorHAnsi" w:cstheme="minorHAnsi"/>
          <w:sz w:val="22"/>
          <w:szCs w:val="22"/>
        </w:rPr>
        <w:t>Agreement</w:t>
      </w:r>
      <w:r w:rsidR="00587B94" w:rsidRPr="000179FE">
        <w:rPr>
          <w:rFonts w:asciiTheme="minorHAnsi" w:hAnsiTheme="minorHAnsi" w:cstheme="minorHAnsi"/>
          <w:sz w:val="22"/>
          <w:szCs w:val="22"/>
        </w:rPr>
        <w:t xml:space="preserve"> (NFA)</w:t>
      </w:r>
      <w:r w:rsidR="00AE7FD0" w:rsidRPr="000179FE">
        <w:rPr>
          <w:rFonts w:asciiTheme="minorHAnsi" w:hAnsiTheme="minorHAnsi" w:cstheme="minorHAnsi"/>
          <w:sz w:val="22"/>
          <w:szCs w:val="22"/>
        </w:rPr>
        <w:t xml:space="preserve"> pay spine and are covered by the </w:t>
      </w:r>
      <w:r w:rsidR="003D273D" w:rsidRPr="000179FE">
        <w:rPr>
          <w:rFonts w:asciiTheme="minorHAnsi" w:hAnsiTheme="minorHAnsi" w:cstheme="minorHAnsi"/>
          <w:sz w:val="22"/>
          <w:szCs w:val="22"/>
        </w:rPr>
        <w:t>University’s grading structure which consist</w:t>
      </w:r>
      <w:r w:rsidR="003B0D91">
        <w:rPr>
          <w:rFonts w:asciiTheme="minorHAnsi" w:hAnsiTheme="minorHAnsi" w:cstheme="minorHAnsi"/>
          <w:sz w:val="22"/>
          <w:szCs w:val="22"/>
        </w:rPr>
        <w:t>s</w:t>
      </w:r>
      <w:r w:rsidR="003D273D" w:rsidRPr="000179FE">
        <w:rPr>
          <w:rFonts w:asciiTheme="minorHAnsi" w:hAnsiTheme="minorHAnsi" w:cstheme="minorHAnsi"/>
          <w:sz w:val="22"/>
          <w:szCs w:val="22"/>
        </w:rPr>
        <w:t xml:space="preserve"> of 9 grades. </w:t>
      </w:r>
      <w:r w:rsidR="000E61AC" w:rsidRPr="000179FE">
        <w:rPr>
          <w:rFonts w:asciiTheme="minorHAnsi" w:hAnsiTheme="minorHAnsi" w:cstheme="minorHAnsi"/>
          <w:sz w:val="22"/>
          <w:szCs w:val="22"/>
        </w:rPr>
        <w:t>These</w:t>
      </w:r>
      <w:r w:rsidR="003D273D" w:rsidRPr="000179FE">
        <w:rPr>
          <w:rFonts w:asciiTheme="minorHAnsi" w:hAnsiTheme="minorHAnsi" w:cstheme="minorHAnsi"/>
          <w:sz w:val="22"/>
          <w:szCs w:val="22"/>
        </w:rPr>
        <w:t xml:space="preserve"> grades are supported </w:t>
      </w:r>
      <w:r w:rsidR="000E61AC" w:rsidRPr="000179FE">
        <w:rPr>
          <w:rFonts w:asciiTheme="minorHAnsi" w:hAnsiTheme="minorHAnsi" w:cstheme="minorHAnsi"/>
          <w:sz w:val="22"/>
          <w:szCs w:val="22"/>
        </w:rPr>
        <w:t>by the Higher Education Role Analysis HERA role evaluation methodology. Staff on NFA pay scales gain pay increases annually based on increased skill, knowledge and experience, until they reach the top of the grade’s core range. They are also subject to any nationally agreed pay awards.</w:t>
      </w:r>
    </w:p>
    <w:p w14:paraId="7F6AB323" w14:textId="42F5E5AD" w:rsidR="006A6DBB" w:rsidRPr="000179FE" w:rsidRDefault="00E90895" w:rsidP="002B7452">
      <w:pPr>
        <w:spacing w:line="276" w:lineRule="auto"/>
        <w:ind w:left="360"/>
        <w:jc w:val="both"/>
        <w:rPr>
          <w:rFonts w:cstheme="minorHAnsi"/>
        </w:rPr>
      </w:pPr>
      <w:r w:rsidRPr="000179FE">
        <w:rPr>
          <w:rFonts w:cstheme="minorHAnsi"/>
        </w:rPr>
        <w:t>3.</w:t>
      </w:r>
      <w:r w:rsidR="00EF7A85" w:rsidRPr="000179FE">
        <w:rPr>
          <w:rFonts w:cstheme="minorHAnsi"/>
        </w:rPr>
        <w:t>3</w:t>
      </w:r>
      <w:r w:rsidRPr="000179FE">
        <w:rPr>
          <w:rFonts w:cstheme="minorHAnsi"/>
        </w:rPr>
        <w:t xml:space="preserve"> </w:t>
      </w:r>
      <w:r w:rsidR="006A6DBB" w:rsidRPr="000179FE">
        <w:rPr>
          <w:rFonts w:cstheme="minorHAnsi"/>
        </w:rPr>
        <w:t xml:space="preserve">All University staff receive the cost of living increases following annual pay negotiations conducted by </w:t>
      </w:r>
      <w:r w:rsidR="004C25C8" w:rsidRPr="000179FE">
        <w:rPr>
          <w:rFonts w:cstheme="minorHAnsi"/>
        </w:rPr>
        <w:t>Universities and Colleges Employers Association (</w:t>
      </w:r>
      <w:r w:rsidR="002B7452" w:rsidRPr="000179FE">
        <w:rPr>
          <w:rFonts w:cstheme="minorHAnsi"/>
        </w:rPr>
        <w:t>UCEA) on</w:t>
      </w:r>
      <w:r w:rsidR="006A6DBB" w:rsidRPr="000179FE">
        <w:rPr>
          <w:rFonts w:cstheme="minorHAnsi"/>
        </w:rPr>
        <w:t xml:space="preserve"> behalf of Universities.</w:t>
      </w:r>
    </w:p>
    <w:p w14:paraId="18E6E084" w14:textId="0EBE9F6D" w:rsidR="00F0244D" w:rsidRPr="000179FE" w:rsidRDefault="00F0244D" w:rsidP="002B7452">
      <w:pPr>
        <w:spacing w:line="276" w:lineRule="auto"/>
        <w:ind w:left="360"/>
        <w:jc w:val="both"/>
        <w:rPr>
          <w:rFonts w:cstheme="minorHAnsi"/>
        </w:rPr>
      </w:pPr>
      <w:r w:rsidRPr="000179FE">
        <w:rPr>
          <w:rFonts w:cstheme="minorHAnsi"/>
        </w:rPr>
        <w:t>3</w:t>
      </w:r>
      <w:r w:rsidR="00EF7A85" w:rsidRPr="000179FE">
        <w:rPr>
          <w:rFonts w:cstheme="minorHAnsi"/>
        </w:rPr>
        <w:t>.4</w:t>
      </w:r>
      <w:r w:rsidRPr="000179FE">
        <w:rPr>
          <w:rFonts w:cstheme="minorHAnsi"/>
        </w:rPr>
        <w:t xml:space="preserve"> The University’s Performance and Development Review (PDR) processes provide a </w:t>
      </w:r>
      <w:r w:rsidR="003F7794" w:rsidRPr="000179FE">
        <w:rPr>
          <w:rFonts w:cstheme="minorHAnsi"/>
        </w:rPr>
        <w:t>basis for reviewing performance and developing staff.</w:t>
      </w:r>
    </w:p>
    <w:p w14:paraId="505C1D30" w14:textId="36612B28" w:rsidR="003F7794" w:rsidRPr="000179FE" w:rsidRDefault="003F7794" w:rsidP="00F249A9">
      <w:pPr>
        <w:spacing w:line="276" w:lineRule="auto"/>
        <w:ind w:left="360"/>
        <w:jc w:val="both"/>
        <w:rPr>
          <w:rFonts w:cstheme="minorHAnsi"/>
        </w:rPr>
      </w:pPr>
      <w:r w:rsidRPr="000179FE">
        <w:rPr>
          <w:rFonts w:cstheme="minorHAnsi"/>
        </w:rPr>
        <w:t>3.</w:t>
      </w:r>
      <w:r w:rsidR="00EF7A85" w:rsidRPr="000179FE">
        <w:rPr>
          <w:rFonts w:cstheme="minorHAnsi"/>
        </w:rPr>
        <w:t>5</w:t>
      </w:r>
      <w:r w:rsidR="00EA66F6" w:rsidRPr="000179FE">
        <w:rPr>
          <w:rFonts w:cstheme="minorHAnsi"/>
        </w:rPr>
        <w:t xml:space="preserve"> The Pay Progression and Contribution Related Pay Policy, the Professorial Staff Salary Review and the Senior Staff Salary Review, allow the University to reward and recognise all individuals and groups of staff who make an exceptional (sustained or one–off) contribution that furthers the aims and objectives of the University, College, School or Professional Service, or meets an exceptional shorter-term operational challenge</w:t>
      </w:r>
      <w:r w:rsidR="00F249A9" w:rsidRPr="000179FE">
        <w:rPr>
          <w:rFonts w:cstheme="minorHAnsi"/>
        </w:rPr>
        <w:t>.</w:t>
      </w:r>
    </w:p>
    <w:p w14:paraId="4A5A70A1" w14:textId="2E41A915" w:rsidR="007168E5" w:rsidRPr="000179FE" w:rsidRDefault="007168E5" w:rsidP="00F249A9">
      <w:pPr>
        <w:spacing w:line="276" w:lineRule="auto"/>
        <w:ind w:left="360"/>
        <w:jc w:val="both"/>
        <w:rPr>
          <w:rFonts w:cstheme="minorHAnsi"/>
          <w:b/>
          <w:bCs/>
        </w:rPr>
      </w:pPr>
      <w:r w:rsidRPr="000179FE">
        <w:rPr>
          <w:rFonts w:cstheme="minorHAnsi"/>
          <w:b/>
          <w:bCs/>
        </w:rPr>
        <w:t>4. Approach to Senior Remuneration</w:t>
      </w:r>
    </w:p>
    <w:p w14:paraId="6974ABB5" w14:textId="77777777" w:rsidR="00EF7A85" w:rsidRPr="000179FE" w:rsidRDefault="00D019DF" w:rsidP="00EF7A85">
      <w:pPr>
        <w:pStyle w:val="NormalWeb"/>
        <w:spacing w:line="276" w:lineRule="auto"/>
        <w:ind w:left="360"/>
        <w:jc w:val="both"/>
        <w:rPr>
          <w:rFonts w:asciiTheme="minorHAnsi" w:hAnsiTheme="minorHAnsi" w:cstheme="minorHAnsi"/>
          <w:color w:val="212121"/>
          <w:sz w:val="22"/>
          <w:szCs w:val="22"/>
        </w:rPr>
      </w:pPr>
      <w:r w:rsidRPr="000179FE">
        <w:rPr>
          <w:rFonts w:asciiTheme="minorHAnsi" w:hAnsiTheme="minorHAnsi" w:cstheme="minorHAnsi"/>
          <w:sz w:val="22"/>
          <w:szCs w:val="22"/>
        </w:rPr>
        <w:t xml:space="preserve">4.1 </w:t>
      </w:r>
      <w:r w:rsidR="00EF7A85" w:rsidRPr="000179FE">
        <w:rPr>
          <w:rFonts w:asciiTheme="minorHAnsi" w:hAnsiTheme="minorHAnsi" w:cstheme="minorHAnsi"/>
          <w:sz w:val="22"/>
          <w:szCs w:val="22"/>
        </w:rPr>
        <w:t xml:space="preserve">The Committee of University Chairs (CUC) is </w:t>
      </w:r>
      <w:r w:rsidR="00EF7A85" w:rsidRPr="000179FE">
        <w:rPr>
          <w:rFonts w:asciiTheme="minorHAnsi" w:hAnsiTheme="minorHAnsi" w:cstheme="minorHAnsi"/>
          <w:color w:val="212121"/>
          <w:sz w:val="22"/>
          <w:szCs w:val="22"/>
        </w:rPr>
        <w:t xml:space="preserve">committed to promoting transparency around how resources are used in the Higher Education sector and to ensuring that the pay of the most senior staff in universities is fair. It worked with its members, partners and sector organisations to develop a Senior Staff Remuneration Code for Higher Education. The Remuneration Code encompasses three core principles: fairness, independence and transparency. These principles are key to ensuring that pay levels are both reasonable and appropriate, and also allow HE stakeholders to have confidence that resources are being used effectively. </w:t>
      </w:r>
    </w:p>
    <w:p w14:paraId="3BEC3092" w14:textId="57A6C473" w:rsidR="00EF7A85" w:rsidRPr="000179FE" w:rsidRDefault="00EF7A85" w:rsidP="00EF7A85">
      <w:pPr>
        <w:pStyle w:val="NormalWeb"/>
        <w:spacing w:line="276" w:lineRule="auto"/>
        <w:ind w:left="360"/>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4.2 All decisions and recommendations made by the Committee are guided by the principles highlighted above.</w:t>
      </w:r>
      <w:r w:rsidR="00A12881" w:rsidRPr="000179FE">
        <w:rPr>
          <w:rFonts w:asciiTheme="minorHAnsi" w:hAnsiTheme="minorHAnsi" w:cstheme="minorHAnsi"/>
          <w:color w:val="212121"/>
          <w:sz w:val="22"/>
          <w:szCs w:val="22"/>
        </w:rPr>
        <w:t xml:space="preserve"> The </w:t>
      </w:r>
      <w:r w:rsidR="005612FE" w:rsidRPr="000179FE">
        <w:rPr>
          <w:rFonts w:asciiTheme="minorHAnsi" w:hAnsiTheme="minorHAnsi" w:cstheme="minorHAnsi"/>
          <w:color w:val="212121"/>
          <w:sz w:val="22"/>
          <w:szCs w:val="22"/>
        </w:rPr>
        <w:t xml:space="preserve">data supporting these </w:t>
      </w:r>
      <w:r w:rsidR="000F2B92" w:rsidRPr="000179FE">
        <w:rPr>
          <w:rFonts w:asciiTheme="minorHAnsi" w:hAnsiTheme="minorHAnsi" w:cstheme="minorHAnsi"/>
          <w:color w:val="212121"/>
          <w:sz w:val="22"/>
          <w:szCs w:val="22"/>
        </w:rPr>
        <w:t>decisions</w:t>
      </w:r>
      <w:r w:rsidR="005612FE" w:rsidRPr="000179FE">
        <w:rPr>
          <w:rFonts w:asciiTheme="minorHAnsi" w:hAnsiTheme="minorHAnsi" w:cstheme="minorHAnsi"/>
          <w:color w:val="212121"/>
          <w:sz w:val="22"/>
          <w:szCs w:val="22"/>
        </w:rPr>
        <w:t xml:space="preserve"> </w:t>
      </w:r>
      <w:r w:rsidR="000F2B92" w:rsidRPr="000179FE">
        <w:rPr>
          <w:rFonts w:asciiTheme="minorHAnsi" w:hAnsiTheme="minorHAnsi" w:cstheme="minorHAnsi"/>
          <w:color w:val="212121"/>
          <w:sz w:val="22"/>
          <w:szCs w:val="22"/>
        </w:rPr>
        <w:t>is drawn from</w:t>
      </w:r>
      <w:r w:rsidR="00D64984" w:rsidRPr="000179FE">
        <w:rPr>
          <w:rFonts w:asciiTheme="minorHAnsi" w:hAnsiTheme="minorHAnsi" w:cstheme="minorHAnsi"/>
          <w:color w:val="212121"/>
          <w:sz w:val="22"/>
          <w:szCs w:val="22"/>
        </w:rPr>
        <w:t>:</w:t>
      </w:r>
    </w:p>
    <w:p w14:paraId="18B4657F" w14:textId="37A58E2B" w:rsidR="00D64984" w:rsidRPr="000179FE" w:rsidRDefault="00D64984" w:rsidP="00D64984">
      <w:pPr>
        <w:pStyle w:val="NormalWeb"/>
        <w:numPr>
          <w:ilvl w:val="0"/>
          <w:numId w:val="7"/>
        </w:numPr>
        <w:spacing w:line="276" w:lineRule="auto"/>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The UCEA Annual Senior Staff Remuneration Survey; and</w:t>
      </w:r>
    </w:p>
    <w:p w14:paraId="4B567E37" w14:textId="5381C150" w:rsidR="00D64984" w:rsidRPr="000179FE" w:rsidRDefault="00D64984" w:rsidP="00D64984">
      <w:pPr>
        <w:pStyle w:val="NormalWeb"/>
        <w:numPr>
          <w:ilvl w:val="0"/>
          <w:numId w:val="7"/>
        </w:numPr>
        <w:spacing w:line="276" w:lineRule="auto"/>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The CUC Vice-Chancellor Salary Survey</w:t>
      </w:r>
    </w:p>
    <w:p w14:paraId="3E9BD9E1" w14:textId="7A3484DC" w:rsidR="008D34DF" w:rsidRDefault="008D49F7" w:rsidP="006A6DBB">
      <w:pPr>
        <w:ind w:left="360"/>
        <w:jc w:val="both"/>
        <w:rPr>
          <w:rFonts w:cstheme="minorHAnsi"/>
        </w:rPr>
      </w:pPr>
      <w:r w:rsidRPr="000179FE">
        <w:rPr>
          <w:rFonts w:cstheme="minorHAnsi"/>
        </w:rPr>
        <w:lastRenderedPageBreak/>
        <w:t>As well</w:t>
      </w:r>
      <w:r w:rsidR="00D8362C" w:rsidRPr="000179FE">
        <w:rPr>
          <w:rFonts w:cstheme="minorHAnsi"/>
        </w:rPr>
        <w:t xml:space="preserve"> as</w:t>
      </w:r>
      <w:r w:rsidRPr="000179FE">
        <w:rPr>
          <w:rFonts w:cstheme="minorHAnsi"/>
        </w:rPr>
        <w:t xml:space="preserve"> considering senior salaries, the Remuneration Committee usually </w:t>
      </w:r>
      <w:r w:rsidR="00D8362C" w:rsidRPr="000179FE">
        <w:rPr>
          <w:rFonts w:cstheme="minorHAnsi"/>
        </w:rPr>
        <w:t>receives</w:t>
      </w:r>
      <w:r w:rsidRPr="000179FE">
        <w:rPr>
          <w:rFonts w:cstheme="minorHAnsi"/>
        </w:rPr>
        <w:t xml:space="preserve"> </w:t>
      </w:r>
      <w:r w:rsidR="00D8046F" w:rsidRPr="000179FE">
        <w:rPr>
          <w:rFonts w:cstheme="minorHAnsi"/>
        </w:rPr>
        <w:t>updates on remuneration-</w:t>
      </w:r>
      <w:r w:rsidR="00D8362C" w:rsidRPr="000179FE">
        <w:rPr>
          <w:rFonts w:cstheme="minorHAnsi"/>
        </w:rPr>
        <w:t>related</w:t>
      </w:r>
      <w:r w:rsidR="00D8046F" w:rsidRPr="000179FE">
        <w:rPr>
          <w:rFonts w:cstheme="minorHAnsi"/>
        </w:rPr>
        <w:t xml:space="preserve"> matters affecting senior staff and other </w:t>
      </w:r>
      <w:r w:rsidR="00D8362C" w:rsidRPr="000179FE">
        <w:rPr>
          <w:rFonts w:cstheme="minorHAnsi"/>
        </w:rPr>
        <w:t>s</w:t>
      </w:r>
      <w:r w:rsidR="00D8046F" w:rsidRPr="000179FE">
        <w:rPr>
          <w:rFonts w:cstheme="minorHAnsi"/>
        </w:rPr>
        <w:t>taff groups</w:t>
      </w:r>
      <w:r w:rsidR="00D8362C" w:rsidRPr="000179FE">
        <w:rPr>
          <w:rFonts w:cstheme="minorHAnsi"/>
        </w:rPr>
        <w:t xml:space="preserve">; however </w:t>
      </w:r>
      <w:r w:rsidR="007D6EC0" w:rsidRPr="000179FE">
        <w:rPr>
          <w:rFonts w:cstheme="minorHAnsi"/>
        </w:rPr>
        <w:t xml:space="preserve">the remuneration and contribution rounds did not take </w:t>
      </w:r>
      <w:r w:rsidR="00B41404" w:rsidRPr="000179FE">
        <w:rPr>
          <w:rFonts w:cstheme="minorHAnsi"/>
        </w:rPr>
        <w:t>place</w:t>
      </w:r>
      <w:r w:rsidR="007D6EC0" w:rsidRPr="000179FE">
        <w:rPr>
          <w:rFonts w:cstheme="minorHAnsi"/>
        </w:rPr>
        <w:t xml:space="preserve"> in 2</w:t>
      </w:r>
      <w:r w:rsidR="00364007">
        <w:rPr>
          <w:rFonts w:cstheme="minorHAnsi"/>
        </w:rPr>
        <w:t>1</w:t>
      </w:r>
      <w:r w:rsidR="007D6EC0" w:rsidRPr="000179FE">
        <w:rPr>
          <w:rFonts w:cstheme="minorHAnsi"/>
        </w:rPr>
        <w:t>-2</w:t>
      </w:r>
      <w:r w:rsidR="00364007">
        <w:rPr>
          <w:rFonts w:cstheme="minorHAnsi"/>
        </w:rPr>
        <w:t>2</w:t>
      </w:r>
      <w:r w:rsidR="007D6EC0" w:rsidRPr="000179FE">
        <w:rPr>
          <w:rFonts w:cstheme="minorHAnsi"/>
        </w:rPr>
        <w:t xml:space="preserve"> (or </w:t>
      </w:r>
      <w:r w:rsidR="00884E4A">
        <w:rPr>
          <w:rFonts w:cstheme="minorHAnsi"/>
        </w:rPr>
        <w:t>18-19 and 19-20</w:t>
      </w:r>
      <w:r w:rsidR="007D6EC0" w:rsidRPr="000179FE">
        <w:rPr>
          <w:rFonts w:cstheme="minorHAnsi"/>
        </w:rPr>
        <w:t xml:space="preserve">) </w:t>
      </w:r>
      <w:r w:rsidR="00B41404" w:rsidRPr="000179FE">
        <w:rPr>
          <w:rFonts w:cstheme="minorHAnsi"/>
        </w:rPr>
        <w:t>due to the financial challenges facing the University and the HE sector</w:t>
      </w:r>
      <w:r w:rsidR="0043262E">
        <w:rPr>
          <w:rFonts w:cstheme="minorHAnsi"/>
        </w:rPr>
        <w:t xml:space="preserve"> in general</w:t>
      </w:r>
      <w:r w:rsidR="00E240E4" w:rsidRPr="000179FE">
        <w:rPr>
          <w:rFonts w:cstheme="minorHAnsi"/>
        </w:rPr>
        <w:t xml:space="preserve">. </w:t>
      </w:r>
    </w:p>
    <w:p w14:paraId="0C770926" w14:textId="77777777" w:rsidR="00364007" w:rsidRPr="000179FE" w:rsidRDefault="00364007" w:rsidP="006A6DBB">
      <w:pPr>
        <w:ind w:left="360"/>
        <w:jc w:val="both"/>
        <w:rPr>
          <w:rFonts w:cstheme="minorHAnsi"/>
        </w:rPr>
      </w:pPr>
    </w:p>
    <w:p w14:paraId="79D2D8CC" w14:textId="5813A62D" w:rsidR="002966D0" w:rsidRPr="00124C7F" w:rsidRDefault="002966D0" w:rsidP="000179FE">
      <w:pPr>
        <w:pStyle w:val="ListParagraph"/>
        <w:numPr>
          <w:ilvl w:val="0"/>
          <w:numId w:val="8"/>
        </w:numPr>
        <w:jc w:val="both"/>
        <w:rPr>
          <w:rFonts w:cstheme="minorHAnsi"/>
          <w:b/>
          <w:bCs/>
        </w:rPr>
      </w:pPr>
      <w:r w:rsidRPr="00124C7F">
        <w:rPr>
          <w:rFonts w:cstheme="minorHAnsi"/>
          <w:b/>
          <w:bCs/>
        </w:rPr>
        <w:t xml:space="preserve">Reports on meetings </w:t>
      </w:r>
      <w:r w:rsidR="00AB50AA" w:rsidRPr="00124C7F">
        <w:rPr>
          <w:rFonts w:cstheme="minorHAnsi"/>
          <w:b/>
          <w:bCs/>
        </w:rPr>
        <w:t>held in 2</w:t>
      </w:r>
      <w:r w:rsidR="003E78A7" w:rsidRPr="00124C7F">
        <w:rPr>
          <w:rFonts w:cstheme="minorHAnsi"/>
          <w:b/>
          <w:bCs/>
        </w:rPr>
        <w:t>1</w:t>
      </w:r>
      <w:r w:rsidR="00AB50AA" w:rsidRPr="00124C7F">
        <w:rPr>
          <w:rFonts w:cstheme="minorHAnsi"/>
          <w:b/>
          <w:bCs/>
        </w:rPr>
        <w:t>-2</w:t>
      </w:r>
      <w:r w:rsidR="003E78A7" w:rsidRPr="00124C7F">
        <w:rPr>
          <w:rFonts w:cstheme="minorHAnsi"/>
          <w:b/>
          <w:bCs/>
        </w:rPr>
        <w:t>2</w:t>
      </w:r>
    </w:p>
    <w:p w14:paraId="0318EA4B" w14:textId="77777777" w:rsidR="004B01CB" w:rsidRDefault="004B01CB" w:rsidP="004B01CB">
      <w:pPr>
        <w:pStyle w:val="ListParagraph"/>
        <w:jc w:val="both"/>
        <w:rPr>
          <w:rFonts w:cstheme="minorHAnsi"/>
        </w:rPr>
      </w:pPr>
    </w:p>
    <w:p w14:paraId="6765508E" w14:textId="64229278" w:rsidR="004B01CB" w:rsidRDefault="00723603" w:rsidP="004B01CB">
      <w:pPr>
        <w:pStyle w:val="ListParagraph"/>
        <w:jc w:val="both"/>
        <w:rPr>
          <w:rFonts w:cstheme="minorHAnsi"/>
        </w:rPr>
      </w:pPr>
      <w:r>
        <w:rPr>
          <w:rFonts w:cstheme="minorHAnsi"/>
        </w:rPr>
        <w:t>During 2021/22, t</w:t>
      </w:r>
      <w:r w:rsidR="00E7295E">
        <w:rPr>
          <w:rFonts w:cstheme="minorHAnsi"/>
        </w:rPr>
        <w:t>h</w:t>
      </w:r>
      <w:r>
        <w:rPr>
          <w:rFonts w:cstheme="minorHAnsi"/>
        </w:rPr>
        <w:t>e Committee met twice</w:t>
      </w:r>
      <w:r w:rsidR="0042511A">
        <w:rPr>
          <w:rFonts w:cstheme="minorHAnsi"/>
        </w:rPr>
        <w:t xml:space="preserve">. As </w:t>
      </w:r>
      <w:r w:rsidR="008C77BD" w:rsidRPr="000179FE">
        <w:rPr>
          <w:rFonts w:cstheme="minorHAnsi"/>
        </w:rPr>
        <w:t>remuneration and contribution rounds did not take place in 2</w:t>
      </w:r>
      <w:r w:rsidR="008C77BD">
        <w:rPr>
          <w:rFonts w:cstheme="minorHAnsi"/>
        </w:rPr>
        <w:t>1</w:t>
      </w:r>
      <w:r w:rsidR="008C77BD" w:rsidRPr="000179FE">
        <w:rPr>
          <w:rFonts w:cstheme="minorHAnsi"/>
        </w:rPr>
        <w:t>-2</w:t>
      </w:r>
      <w:r w:rsidR="008C77BD">
        <w:rPr>
          <w:rFonts w:cstheme="minorHAnsi"/>
        </w:rPr>
        <w:t>2</w:t>
      </w:r>
      <w:r w:rsidR="008C77BD">
        <w:rPr>
          <w:rFonts w:cstheme="minorHAnsi"/>
        </w:rPr>
        <w:t>, the main items under consideration were the:</w:t>
      </w:r>
    </w:p>
    <w:p w14:paraId="1C9E0E55" w14:textId="77777777" w:rsidR="008C77BD" w:rsidRDefault="008C77BD" w:rsidP="004B01CB">
      <w:pPr>
        <w:pStyle w:val="ListParagraph"/>
        <w:jc w:val="both"/>
        <w:rPr>
          <w:rFonts w:cstheme="minorHAnsi"/>
        </w:rPr>
      </w:pPr>
    </w:p>
    <w:p w14:paraId="01C2D843" w14:textId="5B4E75BF" w:rsidR="000F3767" w:rsidRDefault="000F3767" w:rsidP="000F3767">
      <w:pPr>
        <w:pStyle w:val="ListParagraph"/>
        <w:numPr>
          <w:ilvl w:val="0"/>
          <w:numId w:val="9"/>
        </w:numPr>
        <w:jc w:val="both"/>
        <w:rPr>
          <w:rFonts w:cstheme="minorHAnsi"/>
        </w:rPr>
      </w:pPr>
      <w:r>
        <w:rPr>
          <w:rFonts w:cstheme="minorHAnsi"/>
        </w:rPr>
        <w:t>Salary range for the incoming Vice-Chancellor</w:t>
      </w:r>
    </w:p>
    <w:p w14:paraId="0332F399" w14:textId="718F8014" w:rsidR="00935870" w:rsidRDefault="00935870" w:rsidP="000F3767">
      <w:pPr>
        <w:pStyle w:val="ListParagraph"/>
        <w:numPr>
          <w:ilvl w:val="0"/>
          <w:numId w:val="9"/>
        </w:numPr>
        <w:jc w:val="both"/>
        <w:rPr>
          <w:rFonts w:cstheme="minorHAnsi"/>
        </w:rPr>
      </w:pPr>
      <w:r>
        <w:rPr>
          <w:rFonts w:cstheme="minorHAnsi"/>
        </w:rPr>
        <w:t>Retention payment for a senior member of staff</w:t>
      </w:r>
    </w:p>
    <w:p w14:paraId="4AE9164C" w14:textId="590541D4" w:rsidR="000F0A6E" w:rsidRDefault="000F0A6E" w:rsidP="000F3767">
      <w:pPr>
        <w:pStyle w:val="ListParagraph"/>
        <w:numPr>
          <w:ilvl w:val="0"/>
          <w:numId w:val="9"/>
        </w:numPr>
        <w:jc w:val="both"/>
        <w:rPr>
          <w:rFonts w:cstheme="minorHAnsi"/>
        </w:rPr>
      </w:pPr>
      <w:r>
        <w:rPr>
          <w:rFonts w:cstheme="minorHAnsi"/>
        </w:rPr>
        <w:t>Annual Pay Policy statement</w:t>
      </w:r>
    </w:p>
    <w:p w14:paraId="636D9F5F" w14:textId="01BB9712" w:rsidR="005C2E83" w:rsidRDefault="005C2E83" w:rsidP="000F3767">
      <w:pPr>
        <w:pStyle w:val="ListParagraph"/>
        <w:numPr>
          <w:ilvl w:val="0"/>
          <w:numId w:val="9"/>
        </w:numPr>
        <w:jc w:val="both"/>
        <w:rPr>
          <w:rFonts w:cstheme="minorHAnsi"/>
        </w:rPr>
      </w:pPr>
      <w:r>
        <w:rPr>
          <w:rFonts w:cstheme="minorHAnsi"/>
        </w:rPr>
        <w:t>Updates on pay awards</w:t>
      </w:r>
    </w:p>
    <w:p w14:paraId="3BCA90EC" w14:textId="16A78F46" w:rsidR="005C2E83" w:rsidRDefault="005C2E83" w:rsidP="000F3767">
      <w:pPr>
        <w:pStyle w:val="ListParagraph"/>
        <w:numPr>
          <w:ilvl w:val="0"/>
          <w:numId w:val="9"/>
        </w:numPr>
        <w:jc w:val="both"/>
        <w:rPr>
          <w:rFonts w:cstheme="minorHAnsi"/>
        </w:rPr>
      </w:pPr>
      <w:r>
        <w:rPr>
          <w:rFonts w:cstheme="minorHAnsi"/>
        </w:rPr>
        <w:t xml:space="preserve">Outgoing Vice-Chancellor’s view on senior </w:t>
      </w:r>
      <w:r w:rsidR="00124C7F">
        <w:rPr>
          <w:rFonts w:cstheme="minorHAnsi"/>
        </w:rPr>
        <w:t>remuneration</w:t>
      </w:r>
    </w:p>
    <w:p w14:paraId="190C0A96" w14:textId="77777777" w:rsidR="00001E21" w:rsidRDefault="00001E21" w:rsidP="00001E21">
      <w:pPr>
        <w:pStyle w:val="ListParagraph"/>
        <w:ind w:left="1440"/>
        <w:jc w:val="both"/>
        <w:rPr>
          <w:rFonts w:cstheme="minorHAnsi"/>
        </w:rPr>
      </w:pPr>
    </w:p>
    <w:p w14:paraId="0C2CCA85" w14:textId="78FFB2B9" w:rsidR="00001E21" w:rsidRPr="002829CA" w:rsidRDefault="00001E21" w:rsidP="00001E21">
      <w:pPr>
        <w:pStyle w:val="ListParagraph"/>
        <w:numPr>
          <w:ilvl w:val="0"/>
          <w:numId w:val="8"/>
        </w:numPr>
        <w:jc w:val="both"/>
        <w:rPr>
          <w:rFonts w:cstheme="minorHAnsi"/>
          <w:b/>
          <w:bCs/>
        </w:rPr>
      </w:pPr>
      <w:r w:rsidRPr="002829CA">
        <w:rPr>
          <w:rFonts w:cstheme="minorHAnsi"/>
          <w:b/>
          <w:bCs/>
        </w:rPr>
        <w:t>Action required</w:t>
      </w:r>
    </w:p>
    <w:p w14:paraId="4443C8C9" w14:textId="217FCA15" w:rsidR="00134869" w:rsidRPr="00134869" w:rsidRDefault="00134869" w:rsidP="00134869">
      <w:pPr>
        <w:ind w:firstLine="360"/>
        <w:jc w:val="both"/>
        <w:rPr>
          <w:rFonts w:cstheme="minorHAnsi"/>
        </w:rPr>
      </w:pPr>
      <w:r>
        <w:rPr>
          <w:rFonts w:cstheme="minorHAnsi"/>
        </w:rPr>
        <w:t>The Committee is asked to note the content of this report</w:t>
      </w:r>
      <w:r w:rsidR="002829CA">
        <w:rPr>
          <w:rFonts w:cstheme="minorHAnsi"/>
        </w:rPr>
        <w:t xml:space="preserve"> and refer to Council for approval</w:t>
      </w:r>
    </w:p>
    <w:p w14:paraId="4FF75708" w14:textId="3B673F40" w:rsidR="00E90895" w:rsidRPr="000179FE" w:rsidRDefault="00E90895" w:rsidP="00967B00">
      <w:pPr>
        <w:pStyle w:val="NormalWeb"/>
        <w:spacing w:line="276" w:lineRule="auto"/>
        <w:ind w:left="360"/>
        <w:jc w:val="both"/>
        <w:rPr>
          <w:rFonts w:asciiTheme="minorHAnsi" w:hAnsiTheme="minorHAnsi" w:cstheme="minorHAnsi"/>
          <w:sz w:val="22"/>
          <w:szCs w:val="22"/>
        </w:rPr>
      </w:pPr>
    </w:p>
    <w:p w14:paraId="6714C033" w14:textId="253C2606" w:rsidR="00C15564" w:rsidRPr="000179FE" w:rsidRDefault="00C15564" w:rsidP="00587B94">
      <w:pPr>
        <w:pStyle w:val="NormalWeb"/>
        <w:spacing w:line="276" w:lineRule="auto"/>
        <w:jc w:val="both"/>
        <w:rPr>
          <w:rFonts w:asciiTheme="minorHAnsi" w:hAnsiTheme="minorHAnsi" w:cstheme="minorHAnsi"/>
          <w:sz w:val="22"/>
          <w:szCs w:val="22"/>
        </w:rPr>
      </w:pPr>
    </w:p>
    <w:sectPr w:rsidR="00C15564" w:rsidRPr="0001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3B"/>
    <w:multiLevelType w:val="hybridMultilevel"/>
    <w:tmpl w:val="9152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071"/>
    <w:multiLevelType w:val="hybridMultilevel"/>
    <w:tmpl w:val="14B6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B319E"/>
    <w:multiLevelType w:val="multilevel"/>
    <w:tmpl w:val="60DC2B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D29F3"/>
    <w:multiLevelType w:val="hybridMultilevel"/>
    <w:tmpl w:val="E618C2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13B6B"/>
    <w:multiLevelType w:val="multilevel"/>
    <w:tmpl w:val="6E5297C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73A3AC3"/>
    <w:multiLevelType w:val="multilevel"/>
    <w:tmpl w:val="5E6CB2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B46716"/>
    <w:multiLevelType w:val="multilevel"/>
    <w:tmpl w:val="BB843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2E528A9"/>
    <w:multiLevelType w:val="multilevel"/>
    <w:tmpl w:val="F580B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41713C"/>
    <w:multiLevelType w:val="hybridMultilevel"/>
    <w:tmpl w:val="A6766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5268534">
    <w:abstractNumId w:val="6"/>
  </w:num>
  <w:num w:numId="2" w16cid:durableId="1410738635">
    <w:abstractNumId w:val="5"/>
  </w:num>
  <w:num w:numId="3" w16cid:durableId="2005351831">
    <w:abstractNumId w:val="0"/>
  </w:num>
  <w:num w:numId="4" w16cid:durableId="1146624974">
    <w:abstractNumId w:val="2"/>
  </w:num>
  <w:num w:numId="5" w16cid:durableId="269706543">
    <w:abstractNumId w:val="4"/>
  </w:num>
  <w:num w:numId="6" w16cid:durableId="940377968">
    <w:abstractNumId w:val="7"/>
  </w:num>
  <w:num w:numId="7" w16cid:durableId="1838613783">
    <w:abstractNumId w:val="8"/>
  </w:num>
  <w:num w:numId="8" w16cid:durableId="1910651393">
    <w:abstractNumId w:val="3"/>
  </w:num>
  <w:num w:numId="9" w16cid:durableId="88953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F1"/>
    <w:rsid w:val="00001E21"/>
    <w:rsid w:val="00013138"/>
    <w:rsid w:val="000179FE"/>
    <w:rsid w:val="0003489F"/>
    <w:rsid w:val="00043325"/>
    <w:rsid w:val="000C444C"/>
    <w:rsid w:val="000C707A"/>
    <w:rsid w:val="000E61AC"/>
    <w:rsid w:val="000F0A6E"/>
    <w:rsid w:val="000F2B92"/>
    <w:rsid w:val="000F3767"/>
    <w:rsid w:val="00111C8E"/>
    <w:rsid w:val="00124C7F"/>
    <w:rsid w:val="00134869"/>
    <w:rsid w:val="0013620C"/>
    <w:rsid w:val="00166BB2"/>
    <w:rsid w:val="00171E62"/>
    <w:rsid w:val="00190D38"/>
    <w:rsid w:val="00196767"/>
    <w:rsid w:val="001D0E62"/>
    <w:rsid w:val="001E230A"/>
    <w:rsid w:val="00200609"/>
    <w:rsid w:val="00212247"/>
    <w:rsid w:val="002829CA"/>
    <w:rsid w:val="002966D0"/>
    <w:rsid w:val="002B7452"/>
    <w:rsid w:val="00302721"/>
    <w:rsid w:val="003134C5"/>
    <w:rsid w:val="003471DB"/>
    <w:rsid w:val="00364007"/>
    <w:rsid w:val="003B0D91"/>
    <w:rsid w:val="003B20B2"/>
    <w:rsid w:val="003B3FB1"/>
    <w:rsid w:val="003D273D"/>
    <w:rsid w:val="003E0A52"/>
    <w:rsid w:val="003E78A7"/>
    <w:rsid w:val="003F7794"/>
    <w:rsid w:val="0042511A"/>
    <w:rsid w:val="0043262E"/>
    <w:rsid w:val="004B01CB"/>
    <w:rsid w:val="004C25C8"/>
    <w:rsid w:val="004D15C4"/>
    <w:rsid w:val="004F1A83"/>
    <w:rsid w:val="005078A2"/>
    <w:rsid w:val="005612FE"/>
    <w:rsid w:val="00587B94"/>
    <w:rsid w:val="005A4987"/>
    <w:rsid w:val="005C2E83"/>
    <w:rsid w:val="005C2FF6"/>
    <w:rsid w:val="006473C8"/>
    <w:rsid w:val="00690D86"/>
    <w:rsid w:val="006A6DBB"/>
    <w:rsid w:val="006E2027"/>
    <w:rsid w:val="007041BB"/>
    <w:rsid w:val="00705BB8"/>
    <w:rsid w:val="007168E5"/>
    <w:rsid w:val="00723603"/>
    <w:rsid w:val="007D6EC0"/>
    <w:rsid w:val="00806BFD"/>
    <w:rsid w:val="008437FA"/>
    <w:rsid w:val="00884E4A"/>
    <w:rsid w:val="008C77BD"/>
    <w:rsid w:val="008D34DF"/>
    <w:rsid w:val="008D49F7"/>
    <w:rsid w:val="0093185D"/>
    <w:rsid w:val="00935870"/>
    <w:rsid w:val="0093636C"/>
    <w:rsid w:val="00951824"/>
    <w:rsid w:val="00967B00"/>
    <w:rsid w:val="00995E24"/>
    <w:rsid w:val="009C0896"/>
    <w:rsid w:val="00A12881"/>
    <w:rsid w:val="00A3456C"/>
    <w:rsid w:val="00A45C48"/>
    <w:rsid w:val="00A50E37"/>
    <w:rsid w:val="00AB50AA"/>
    <w:rsid w:val="00AE7FD0"/>
    <w:rsid w:val="00B051C1"/>
    <w:rsid w:val="00B11404"/>
    <w:rsid w:val="00B33F8F"/>
    <w:rsid w:val="00B41404"/>
    <w:rsid w:val="00B75E3A"/>
    <w:rsid w:val="00B75E84"/>
    <w:rsid w:val="00B81602"/>
    <w:rsid w:val="00B95924"/>
    <w:rsid w:val="00BD38AF"/>
    <w:rsid w:val="00C15564"/>
    <w:rsid w:val="00C6347E"/>
    <w:rsid w:val="00D019DF"/>
    <w:rsid w:val="00D64984"/>
    <w:rsid w:val="00D8046F"/>
    <w:rsid w:val="00D8362C"/>
    <w:rsid w:val="00DC7DF1"/>
    <w:rsid w:val="00DD1423"/>
    <w:rsid w:val="00DD75B0"/>
    <w:rsid w:val="00E240E4"/>
    <w:rsid w:val="00E351EB"/>
    <w:rsid w:val="00E7295E"/>
    <w:rsid w:val="00E90895"/>
    <w:rsid w:val="00EA66F6"/>
    <w:rsid w:val="00EB7AC3"/>
    <w:rsid w:val="00ED1753"/>
    <w:rsid w:val="00EF7A85"/>
    <w:rsid w:val="00F0244D"/>
    <w:rsid w:val="00F249A9"/>
    <w:rsid w:val="00F24E35"/>
    <w:rsid w:val="00F9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966E"/>
  <w15:chartTrackingRefBased/>
  <w15:docId w15:val="{762AFD41-4DBF-4CC0-A1C5-662E9577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F1"/>
    <w:pPr>
      <w:ind w:left="720"/>
      <w:contextualSpacing/>
    </w:pPr>
  </w:style>
  <w:style w:type="paragraph" w:styleId="NormalWeb">
    <w:name w:val="Normal (Web)"/>
    <w:basedOn w:val="Normal"/>
    <w:uiPriority w:val="99"/>
    <w:unhideWhenUsed/>
    <w:rsid w:val="00DC7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97717">
      <w:bodyDiv w:val="1"/>
      <w:marLeft w:val="0"/>
      <w:marRight w:val="0"/>
      <w:marTop w:val="0"/>
      <w:marBottom w:val="0"/>
      <w:divBdr>
        <w:top w:val="none" w:sz="0" w:space="0" w:color="auto"/>
        <w:left w:val="none" w:sz="0" w:space="0" w:color="auto"/>
        <w:bottom w:val="none" w:sz="0" w:space="0" w:color="auto"/>
        <w:right w:val="none" w:sz="0" w:space="0" w:color="auto"/>
      </w:divBdr>
    </w:div>
    <w:div w:id="12769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5189</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 (Staff)</dc:creator>
  <cp:keywords/>
  <dc:description/>
  <cp:lastModifiedBy>Tracy Hibbert (Staff)</cp:lastModifiedBy>
  <cp:revision>101</cp:revision>
  <dcterms:created xsi:type="dcterms:W3CDTF">2023-10-01T12:31:00Z</dcterms:created>
  <dcterms:modified xsi:type="dcterms:W3CDTF">2023-10-17T13:26:00Z</dcterms:modified>
</cp:coreProperties>
</file>